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 w:firstRow="1" w:lastRow="1" w:firstColumn="1" w:lastColumn="1" w:noHBand="0" w:noVBand="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054E0E" w:rsidP="00466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June</w:t>
            </w:r>
            <w:r w:rsidR="00F73238">
              <w:rPr>
                <w:rFonts w:ascii="Verdana" w:hAnsi="Verdana"/>
                <w:sz w:val="20"/>
                <w:szCs w:val="20"/>
              </w:rPr>
              <w:t xml:space="preserve"> 2013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B35B59" w:rsidP="00466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– 09: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C31C4B" w:rsidRDefault="00BB0DF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31C4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0D35FB" w:rsidRPr="00C31C4B" w:rsidRDefault="003D0D2D">
            <w:pPr>
              <w:rPr>
                <w:rFonts w:ascii="Verdana" w:hAnsi="Verdana"/>
                <w:sz w:val="20"/>
                <w:szCs w:val="20"/>
              </w:rPr>
            </w:pPr>
            <w:r w:rsidRPr="00C31C4B">
              <w:rPr>
                <w:rFonts w:ascii="Verdana" w:hAnsi="Verdana"/>
                <w:sz w:val="20"/>
                <w:szCs w:val="20"/>
              </w:rPr>
              <w:t>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5B607A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C</w:t>
            </w:r>
            <w:r w:rsidR="004F6929"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Zachary Pope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C31C4B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In Attendance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4361"/>
            </w:tblGrid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466CC9" w:rsidP="00F7323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Adam Crowe, Pete Sommer, Brittany Schaal, Will Flagler, </w:t>
                  </w:r>
                  <w:r w:rsidR="00546B8D">
                    <w:rPr>
                      <w:rFonts w:ascii="Verdana" w:hAnsi="Verdana"/>
                      <w:sz w:val="20"/>
                      <w:szCs w:val="20"/>
                    </w:rPr>
                    <w:t>Jim Keck, Mike Deel</w:t>
                  </w:r>
                </w:p>
              </w:tc>
            </w:tr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054E0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Sara R</w:t>
                  </w: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C31C4B" w:rsidP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Brittany Schaal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3D0D2D" w:rsidRDefault="00BE257E" w:rsidP="000D35F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466CC9" w:rsidP="00054E0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054E0E">
                    <w:rPr>
                      <w:rFonts w:ascii="Verdana" w:hAnsi="Verdana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Ju</w:t>
                  </w:r>
                  <w:r w:rsidR="00054E0E">
                    <w:rPr>
                      <w:rFonts w:ascii="Verdana" w:hAnsi="Verdana"/>
                      <w:sz w:val="20"/>
                      <w:szCs w:val="20"/>
                    </w:rPr>
                    <w:t>ly</w:t>
                  </w:r>
                  <w:r w:rsidR="005777EC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F73238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0D35FB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8:00 – 9:00 AM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990B9C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Conference Call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2210A0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Zachary Pope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sz w:val="20"/>
          <w:szCs w:val="20"/>
        </w:rPr>
      </w:pPr>
    </w:p>
    <w:p w:rsidR="003D0D2D" w:rsidRDefault="00C31C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Discussion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0"/>
        <w:gridCol w:w="6030"/>
      </w:tblGrid>
      <w:tr w:rsidR="003D0D2D" w:rsidRPr="00160D35" w:rsidTr="00A30EA1">
        <w:trPr>
          <w:trHeight w:val="261"/>
        </w:trPr>
        <w:tc>
          <w:tcPr>
            <w:tcW w:w="828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50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FFFF99"/>
          </w:tcPr>
          <w:p w:rsidR="003D0D2D" w:rsidRDefault="00A30EA1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3D0D2D" w:rsidRPr="00160D35" w:rsidTr="00A30EA1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Welcome</w:t>
            </w:r>
          </w:p>
        </w:tc>
        <w:tc>
          <w:tcPr>
            <w:tcW w:w="6030" w:type="dxa"/>
          </w:tcPr>
          <w:p w:rsidR="003D0D2D" w:rsidRDefault="00A30EA1" w:rsidP="00A30E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welcomed the group. </w:t>
            </w:r>
          </w:p>
        </w:tc>
      </w:tr>
      <w:tr w:rsidR="003D0D2D" w:rsidRPr="00160D35" w:rsidTr="00A30EA1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3D0D2D" w:rsidRDefault="00094347" w:rsidP="000943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Minutes</w:t>
            </w:r>
          </w:p>
        </w:tc>
        <w:tc>
          <w:tcPr>
            <w:tcW w:w="6030" w:type="dxa"/>
          </w:tcPr>
          <w:p w:rsidR="003D0D2D" w:rsidRDefault="00054E0E" w:rsidP="00054E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Motion to approve by Adam, Second by Jim Keck.  Minutes approved.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6CC9" w:rsidRPr="003D0D2D" w:rsidRDefault="00466CC9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Committee Reports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4050" w:type="dxa"/>
          </w:tcPr>
          <w:p w:rsidR="00466CC9" w:rsidRP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Audit</w:t>
            </w:r>
          </w:p>
        </w:tc>
        <w:tc>
          <w:tcPr>
            <w:tcW w:w="6030" w:type="dxa"/>
          </w:tcPr>
          <w:p w:rsidR="00466CC9" w:rsidRDefault="00054E0E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  <w:r w:rsidR="00A30EA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Awards/Recognition</w:t>
            </w:r>
          </w:p>
        </w:tc>
        <w:tc>
          <w:tcPr>
            <w:tcW w:w="6030" w:type="dxa"/>
          </w:tcPr>
          <w:p w:rsidR="00466CC9" w:rsidRDefault="00054E0E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Certification</w:t>
            </w:r>
          </w:p>
        </w:tc>
        <w:tc>
          <w:tcPr>
            <w:tcW w:w="6030" w:type="dxa"/>
          </w:tcPr>
          <w:p w:rsidR="00466CC9" w:rsidRDefault="00054E0E" w:rsidP="002444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applications for review.  Reviewed renewal criteria.  Discussion to drop the </w:t>
            </w:r>
            <w:r w:rsidR="002444D4">
              <w:rPr>
                <w:rFonts w:ascii="Verdana" w:hAnsi="Verdana"/>
                <w:sz w:val="20"/>
                <w:szCs w:val="20"/>
              </w:rPr>
              <w:t>EMA</w:t>
            </w:r>
            <w:r>
              <w:rPr>
                <w:rFonts w:ascii="Verdana" w:hAnsi="Verdana"/>
                <w:sz w:val="20"/>
                <w:szCs w:val="20"/>
              </w:rPr>
              <w:t xml:space="preserve"> certification.  Allow folks who currently have to recertify at the next level.  </w:t>
            </w:r>
            <w:r w:rsidR="002444D4">
              <w:rPr>
                <w:rFonts w:ascii="Verdana" w:hAnsi="Verdana"/>
                <w:sz w:val="20"/>
                <w:szCs w:val="20"/>
              </w:rPr>
              <w:t xml:space="preserve">Pete has reservations about eliminating the EMA, but will go back and review the various levels.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Constitution/By Laws</w:t>
            </w:r>
          </w:p>
        </w:tc>
        <w:tc>
          <w:tcPr>
            <w:tcW w:w="6030" w:type="dxa"/>
          </w:tcPr>
          <w:p w:rsidR="00466CC9" w:rsidRDefault="002444D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not met.  </w:t>
            </w:r>
            <w:r w:rsidR="00A30EA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Legislative</w:t>
            </w:r>
          </w:p>
        </w:tc>
        <w:tc>
          <w:tcPr>
            <w:tcW w:w="6030" w:type="dxa"/>
          </w:tcPr>
          <w:p w:rsidR="00466CC9" w:rsidRDefault="002444D4" w:rsidP="00304B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Looking at nursing home bill requiring generators.  Also looking at consistent source of funding for emergency management.  Nothing specific to the IHE Caucus.  </w:t>
            </w:r>
            <w:r w:rsidR="00304BD9">
              <w:rPr>
                <w:rFonts w:ascii="Verdana" w:hAnsi="Verdana"/>
                <w:sz w:val="20"/>
                <w:szCs w:val="20"/>
              </w:rPr>
              <w:t xml:space="preserve">Will check on the CERT requirement.  If mandated the funding and full time staff support needs to be there.  Putting IHE at a higher standard than local governments’.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Nominations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VACANT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Symposium</w:t>
            </w:r>
          </w:p>
        </w:tc>
        <w:tc>
          <w:tcPr>
            <w:tcW w:w="6030" w:type="dxa"/>
          </w:tcPr>
          <w:p w:rsidR="00466CC9" w:rsidRDefault="00304BD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Proposal submissions sent before the meeting.  </w:t>
            </w:r>
            <w:r w:rsidR="00C75145">
              <w:rPr>
                <w:rFonts w:ascii="Verdana" w:hAnsi="Verdana"/>
                <w:sz w:val="20"/>
                <w:szCs w:val="20"/>
              </w:rPr>
              <w:t xml:space="preserve">Please review the proposals before the next meeting.  Look at proposals that breach locality and IHE information as well as those specific for IHE.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Technology</w:t>
            </w:r>
          </w:p>
        </w:tc>
        <w:tc>
          <w:tcPr>
            <w:tcW w:w="6030" w:type="dxa"/>
          </w:tcPr>
          <w:p w:rsidR="00466CC9" w:rsidRDefault="00C75145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update.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Membership/Marketing</w:t>
            </w:r>
          </w:p>
        </w:tc>
        <w:tc>
          <w:tcPr>
            <w:tcW w:w="6030" w:type="dxa"/>
          </w:tcPr>
          <w:p w:rsidR="00466CC9" w:rsidRDefault="00C75145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not met.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466CC9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3.10</w:t>
            </w:r>
          </w:p>
        </w:tc>
        <w:tc>
          <w:tcPr>
            <w:tcW w:w="405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Scholarship</w:t>
            </w:r>
          </w:p>
        </w:tc>
        <w:tc>
          <w:tcPr>
            <w:tcW w:w="6030" w:type="dxa"/>
          </w:tcPr>
          <w:p w:rsidR="00466CC9" w:rsidRDefault="00C75145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not met.  Once Fall Semester begins taking the application process from the website and sending an email to encourage folks to approach their students about applying.  </w:t>
            </w:r>
            <w:proofErr w:type="spellStart"/>
            <w:r w:rsidR="008F5B80"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 w:rsidR="008F5B80">
              <w:rPr>
                <w:rFonts w:ascii="Verdana" w:hAnsi="Verdana"/>
                <w:sz w:val="20"/>
                <w:szCs w:val="20"/>
              </w:rPr>
              <w:t xml:space="preserve"> will ping the list </w:t>
            </w:r>
            <w:proofErr w:type="spellStart"/>
            <w:r w:rsidR="008F5B80">
              <w:rPr>
                <w:rFonts w:ascii="Verdana" w:hAnsi="Verdana"/>
                <w:sz w:val="20"/>
                <w:szCs w:val="20"/>
              </w:rPr>
              <w:t>serv</w:t>
            </w:r>
            <w:proofErr w:type="spellEnd"/>
            <w:r w:rsidR="008F5B80">
              <w:rPr>
                <w:rFonts w:ascii="Verdana" w:hAnsi="Verdana"/>
                <w:sz w:val="20"/>
                <w:szCs w:val="20"/>
              </w:rPr>
              <w:t xml:space="preserve"> again.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Pr="00160D35" w:rsidRDefault="00466CC9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466CC9" w:rsidRPr="003D0D2D" w:rsidRDefault="008F5B80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Old Business</w:t>
            </w:r>
          </w:p>
        </w:tc>
        <w:tc>
          <w:tcPr>
            <w:tcW w:w="6030" w:type="dxa"/>
          </w:tcPr>
          <w:p w:rsidR="00466CC9" w:rsidRDefault="00466CC9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D15D2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466CC9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4050" w:type="dxa"/>
          </w:tcPr>
          <w:p w:rsidR="00466CC9" w:rsidRPr="00466CC9" w:rsidRDefault="00466CC9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FY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2013-2014 Funding Request</w:t>
            </w:r>
          </w:p>
        </w:tc>
        <w:tc>
          <w:tcPr>
            <w:tcW w:w="6030" w:type="dxa"/>
          </w:tcPr>
          <w:p w:rsidR="00A30EA1" w:rsidRDefault="008F5B80" w:rsidP="008F5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Association Board has asked for funding requests from Board Members.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put in a request for IHE of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$3948.  $948 for webcast subscription fee.  The Finance Committee moved the money to the Technology Committee so the entire Association can use it.  It was approved in the budget.  $1000 for marketing materials put into Marketing/Membership Committee Budget.  $2000 for</w:t>
            </w:r>
            <w:r w:rsidR="00D15D29">
              <w:rPr>
                <w:rFonts w:ascii="Verdana" w:hAnsi="Verdana"/>
                <w:sz w:val="20"/>
                <w:szCs w:val="20"/>
              </w:rPr>
              <w:t xml:space="preserve"> honorariums for</w:t>
            </w:r>
            <w:r>
              <w:rPr>
                <w:rFonts w:ascii="Verdana" w:hAnsi="Verdana"/>
                <w:sz w:val="20"/>
                <w:szCs w:val="20"/>
              </w:rPr>
              <w:t xml:space="preserve"> webinars approved.  </w:t>
            </w:r>
            <w:r w:rsidR="00A30EA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D15D2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 w:rsidR="00466CC9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4050" w:type="dxa"/>
          </w:tcPr>
          <w:p w:rsidR="00466CC9" w:rsidRPr="00466CC9" w:rsidRDefault="00466CC9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D15D29">
              <w:rPr>
                <w:rFonts w:ascii="Verdana" w:hAnsi="Verdana"/>
                <w:sz w:val="20"/>
                <w:szCs w:val="20"/>
              </w:rPr>
              <w:t>By-</w:t>
            </w:r>
            <w:r w:rsidRPr="00466CC9">
              <w:rPr>
                <w:rFonts w:ascii="Verdana" w:hAnsi="Verdana"/>
                <w:sz w:val="20"/>
                <w:szCs w:val="20"/>
              </w:rPr>
              <w:t>Laws Revisions</w:t>
            </w:r>
          </w:p>
        </w:tc>
        <w:tc>
          <w:tcPr>
            <w:tcW w:w="6030" w:type="dxa"/>
          </w:tcPr>
          <w:p w:rsidR="00466CC9" w:rsidRDefault="00077888" w:rsidP="00F00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Reviewed comments submitted by Board.  </w:t>
            </w:r>
            <w:r w:rsidR="00A6445E">
              <w:rPr>
                <w:rFonts w:ascii="Verdana" w:hAnsi="Verdana"/>
                <w:sz w:val="20"/>
                <w:szCs w:val="20"/>
              </w:rPr>
              <w:t>Language regarding voting will be presented via email.  Tabled the voting language and proxy vote.  Motion to accept the other changes.  Will Flag</w:t>
            </w:r>
            <w:r w:rsidR="00F00C81">
              <w:rPr>
                <w:rFonts w:ascii="Verdana" w:hAnsi="Verdana"/>
                <w:sz w:val="20"/>
                <w:szCs w:val="20"/>
              </w:rPr>
              <w:t>l</w:t>
            </w:r>
            <w:r w:rsidR="00A6445E">
              <w:rPr>
                <w:rFonts w:ascii="Verdana" w:hAnsi="Verdana"/>
                <w:sz w:val="20"/>
                <w:szCs w:val="20"/>
              </w:rPr>
              <w:t xml:space="preserve">er motion, Pete </w:t>
            </w:r>
            <w:proofErr w:type="gramStart"/>
            <w:r w:rsidR="00A6445E">
              <w:rPr>
                <w:rFonts w:ascii="Verdana" w:hAnsi="Verdana"/>
                <w:sz w:val="20"/>
                <w:szCs w:val="20"/>
              </w:rPr>
              <w:t>seconded</w:t>
            </w:r>
            <w:proofErr w:type="gramEnd"/>
            <w:r w:rsidR="00A6445E">
              <w:rPr>
                <w:rFonts w:ascii="Verdana" w:hAnsi="Verdana"/>
                <w:sz w:val="20"/>
                <w:szCs w:val="20"/>
              </w:rPr>
              <w:t>.  By-Law article changes approved with the ex</w:t>
            </w:r>
            <w:r w:rsidR="00F00C81">
              <w:rPr>
                <w:rFonts w:ascii="Verdana" w:hAnsi="Verdana"/>
                <w:sz w:val="20"/>
                <w:szCs w:val="20"/>
              </w:rPr>
              <w:t>cep</w:t>
            </w:r>
            <w:r w:rsidR="00A6445E">
              <w:rPr>
                <w:rFonts w:ascii="Verdana" w:hAnsi="Verdana"/>
                <w:sz w:val="20"/>
                <w:szCs w:val="20"/>
              </w:rPr>
              <w:t>tion of voting and proxy vote.</w:t>
            </w:r>
          </w:p>
        </w:tc>
      </w:tr>
      <w:tr w:rsidR="00466CC9" w:rsidRPr="00160D35" w:rsidTr="00A30EA1">
        <w:trPr>
          <w:trHeight w:val="278"/>
        </w:trPr>
        <w:tc>
          <w:tcPr>
            <w:tcW w:w="828" w:type="dxa"/>
          </w:tcPr>
          <w:p w:rsidR="00466CC9" w:rsidRDefault="00D15D29" w:rsidP="00D15D2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466CC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466CC9" w:rsidRPr="00B96497" w:rsidRDefault="00466CC9" w:rsidP="00D15D29">
            <w:pPr>
              <w:rPr>
                <w:rFonts w:ascii="Verdana" w:hAnsi="Verdana"/>
                <w:sz w:val="20"/>
                <w:szCs w:val="20"/>
              </w:rPr>
            </w:pPr>
            <w:r w:rsidRPr="00B9649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96497" w:rsidRPr="00B96497">
              <w:rPr>
                <w:rFonts w:ascii="Verdana" w:hAnsi="Verdana"/>
                <w:sz w:val="20"/>
                <w:szCs w:val="20"/>
              </w:rPr>
              <w:t xml:space="preserve">Board </w:t>
            </w:r>
            <w:r w:rsidR="00D15D29">
              <w:rPr>
                <w:rFonts w:ascii="Verdana" w:hAnsi="Verdana"/>
                <w:sz w:val="20"/>
                <w:szCs w:val="20"/>
              </w:rPr>
              <w:t>Meeting</w:t>
            </w:r>
          </w:p>
        </w:tc>
        <w:tc>
          <w:tcPr>
            <w:tcW w:w="6030" w:type="dxa"/>
          </w:tcPr>
          <w:p w:rsidR="00466CC9" w:rsidRDefault="00D15D29" w:rsidP="00D15D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Theme for the Symposium is “Emergency Management Today - Limited Resources and Complex Threats.”  Working on our by-laws.  An issue will be Caucus representation onto the Board.  Looking at two representatives for IHE.  </w:t>
            </w:r>
          </w:p>
        </w:tc>
      </w:tr>
      <w:tr w:rsidR="00B96497" w:rsidRPr="00160D35" w:rsidTr="00A30EA1">
        <w:trPr>
          <w:trHeight w:val="278"/>
        </w:trPr>
        <w:tc>
          <w:tcPr>
            <w:tcW w:w="828" w:type="dxa"/>
          </w:tcPr>
          <w:p w:rsidR="00B96497" w:rsidRDefault="00D15D29" w:rsidP="00D15D2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B9649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B96497" w:rsidRPr="00B96497" w:rsidRDefault="00B96497" w:rsidP="00A30EA1">
            <w:pPr>
              <w:rPr>
                <w:rFonts w:ascii="Verdana" w:hAnsi="Verdana"/>
                <w:sz w:val="20"/>
                <w:szCs w:val="20"/>
              </w:rPr>
            </w:pPr>
            <w:r w:rsidRPr="00B96497">
              <w:rPr>
                <w:rFonts w:ascii="Verdana" w:hAnsi="Verdana"/>
                <w:sz w:val="20"/>
                <w:szCs w:val="20"/>
              </w:rPr>
              <w:t xml:space="preserve">    Marketing/Publications </w:t>
            </w:r>
          </w:p>
        </w:tc>
        <w:tc>
          <w:tcPr>
            <w:tcW w:w="6030" w:type="dxa"/>
          </w:tcPr>
          <w:p w:rsidR="00B96497" w:rsidRDefault="00A6445E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Skipped.</w:t>
            </w:r>
            <w:r w:rsidR="00A30EA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F73238" w:rsidRPr="00160D35" w:rsidTr="00A30EA1">
        <w:trPr>
          <w:trHeight w:val="278"/>
        </w:trPr>
        <w:tc>
          <w:tcPr>
            <w:tcW w:w="828" w:type="dxa"/>
          </w:tcPr>
          <w:p w:rsidR="00F73238" w:rsidRDefault="00D15D2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73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F73238" w:rsidRPr="000D35FB" w:rsidRDefault="00F73238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New Business</w:t>
            </w:r>
          </w:p>
        </w:tc>
        <w:tc>
          <w:tcPr>
            <w:tcW w:w="6030" w:type="dxa"/>
          </w:tcPr>
          <w:p w:rsidR="00F73238" w:rsidRDefault="00A6445E" w:rsidP="00F00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new business.  Motion to close by Will Flag</w:t>
            </w:r>
            <w:r w:rsidR="00F00C81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 xml:space="preserve">er, Mike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seconded.  Meeting adjourned 8:58.  </w:t>
            </w:r>
          </w:p>
        </w:tc>
      </w:tr>
    </w:tbl>
    <w:p w:rsidR="003D0D2D" w:rsidRDefault="003D0D2D">
      <w:pPr>
        <w:rPr>
          <w:rFonts w:ascii="Verdana" w:hAnsi="Verdana"/>
          <w:b/>
          <w:sz w:val="20"/>
          <w:szCs w:val="20"/>
        </w:rPr>
      </w:pPr>
    </w:p>
    <w:p w:rsidR="00CC5AB7" w:rsidRDefault="00CC5AB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20534" w:rsidRDefault="00220534" w:rsidP="002205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Items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0"/>
        <w:gridCol w:w="6030"/>
      </w:tblGrid>
      <w:tr w:rsidR="00220534" w:rsidRPr="00160D35" w:rsidTr="0062146E">
        <w:trPr>
          <w:trHeight w:val="261"/>
        </w:trPr>
        <w:tc>
          <w:tcPr>
            <w:tcW w:w="828" w:type="dxa"/>
            <w:shd w:val="clear" w:color="auto" w:fill="FFFF99"/>
          </w:tcPr>
          <w:p w:rsidR="00220534" w:rsidRPr="00160D35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50" w:type="dxa"/>
            <w:shd w:val="clear" w:color="auto" w:fill="FFFF99"/>
          </w:tcPr>
          <w:p w:rsidR="00220534" w:rsidRPr="00160D35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FFFF99"/>
          </w:tcPr>
          <w:p w:rsidR="00220534" w:rsidRDefault="00220534" w:rsidP="006214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220534" w:rsidRPr="00160D35" w:rsidTr="0062146E">
        <w:trPr>
          <w:trHeight w:val="278"/>
        </w:trPr>
        <w:tc>
          <w:tcPr>
            <w:tcW w:w="828" w:type="dxa"/>
          </w:tcPr>
          <w:p w:rsidR="00220534" w:rsidRPr="00160D35" w:rsidRDefault="00220534" w:rsidP="0022053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50" w:type="dxa"/>
          </w:tcPr>
          <w:p w:rsidR="00220534" w:rsidRPr="003D0D2D" w:rsidRDefault="00220534" w:rsidP="0062146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Survey Institutions </w:t>
            </w:r>
          </w:p>
        </w:tc>
        <w:tc>
          <w:tcPr>
            <w:tcW w:w="6030" w:type="dxa"/>
          </w:tcPr>
          <w:p w:rsidR="00220534" w:rsidRDefault="00220534" w:rsidP="00F00C8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C81">
              <w:rPr>
                <w:rFonts w:ascii="Verdana" w:hAnsi="Verdana"/>
                <w:sz w:val="20"/>
                <w:szCs w:val="20"/>
              </w:rPr>
              <w:t>will again</w:t>
            </w:r>
            <w:r>
              <w:rPr>
                <w:rFonts w:ascii="Verdana" w:hAnsi="Verdana"/>
                <w:sz w:val="20"/>
                <w:szCs w:val="20"/>
              </w:rPr>
              <w:t xml:space="preserve"> survey IHEs to determine which offered an emergency management or like degree. </w:t>
            </w:r>
          </w:p>
        </w:tc>
      </w:tr>
      <w:tr w:rsidR="00220534" w:rsidRPr="00160D35" w:rsidTr="0062146E">
        <w:trPr>
          <w:trHeight w:val="278"/>
        </w:trPr>
        <w:tc>
          <w:tcPr>
            <w:tcW w:w="828" w:type="dxa"/>
          </w:tcPr>
          <w:p w:rsidR="00220534" w:rsidRPr="00160D35" w:rsidRDefault="00220534" w:rsidP="00220534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50" w:type="dxa"/>
          </w:tcPr>
          <w:p w:rsidR="00220534" w:rsidRDefault="00220534" w:rsidP="006214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 By Laws</w:t>
            </w:r>
          </w:p>
        </w:tc>
        <w:tc>
          <w:tcPr>
            <w:tcW w:w="6030" w:type="dxa"/>
          </w:tcPr>
          <w:p w:rsidR="00220534" w:rsidRDefault="00F00C81" w:rsidP="006214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Pete will suggest options for the voting article of the by-laws and present to the group via email.  </w:t>
            </w:r>
            <w:r w:rsidR="002205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220534" w:rsidRPr="00CC5AB7" w:rsidRDefault="00220534">
      <w:pPr>
        <w:rPr>
          <w:rFonts w:ascii="Verdana" w:hAnsi="Verdana"/>
          <w:sz w:val="20"/>
          <w:szCs w:val="20"/>
        </w:rPr>
      </w:pPr>
    </w:p>
    <w:sectPr w:rsidR="00220534" w:rsidRPr="00CC5AB7" w:rsidSect="00A4459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E5" w:rsidRDefault="001B53E5">
      <w:r>
        <w:separator/>
      </w:r>
    </w:p>
  </w:endnote>
  <w:endnote w:type="continuationSeparator" w:id="0">
    <w:p w:rsidR="001B53E5" w:rsidRDefault="001B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>
    <w:pPr>
      <w:pStyle w:val="Footer"/>
      <w:pBdr>
        <w:bottom w:val="single" w:sz="6" w:space="1" w:color="auto"/>
      </w:pBdr>
    </w:pPr>
  </w:p>
  <w:p w:rsidR="000D35FB" w:rsidRPr="002D7076" w:rsidRDefault="000D35FB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377305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377305" w:rsidRPr="002D7076">
      <w:rPr>
        <w:rFonts w:ascii="Verdana" w:hAnsi="Verdana"/>
        <w:sz w:val="20"/>
        <w:szCs w:val="20"/>
      </w:rPr>
      <w:fldChar w:fldCharType="separate"/>
    </w:r>
    <w:r w:rsidR="00F00C81">
      <w:rPr>
        <w:rFonts w:ascii="Verdana" w:hAnsi="Verdana"/>
        <w:noProof/>
        <w:sz w:val="20"/>
        <w:szCs w:val="20"/>
      </w:rPr>
      <w:t>1</w:t>
    </w:r>
    <w:r w:rsidR="00377305" w:rsidRPr="002D707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1    </w:t>
    </w:r>
    <w:r w:rsidR="00FD63FD">
      <w:rPr>
        <w:rFonts w:ascii="Verdana" w:hAnsi="Verdana"/>
        <w:sz w:val="20"/>
        <w:szCs w:val="20"/>
      </w:rPr>
      <w:t>November</w:t>
    </w:r>
    <w:r>
      <w:rPr>
        <w:rFonts w:ascii="Verdana" w:hAnsi="Verdana"/>
        <w:sz w:val="20"/>
        <w:szCs w:val="20"/>
      </w:rPr>
      <w:t xml:space="preserve"> 2</w:t>
    </w:r>
    <w:r w:rsidR="00FD63FD">
      <w:rPr>
        <w:rFonts w:ascii="Verdana" w:hAnsi="Verdana"/>
        <w:sz w:val="20"/>
        <w:szCs w:val="20"/>
      </w:rPr>
      <w:t>8</w:t>
    </w:r>
    <w:r>
      <w:rPr>
        <w:rFonts w:ascii="Verdana" w:hAnsi="Verdana"/>
        <w:sz w:val="20"/>
        <w:szCs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E5" w:rsidRDefault="001B53E5">
      <w:r>
        <w:separator/>
      </w:r>
    </w:p>
  </w:footnote>
  <w:footnote w:type="continuationSeparator" w:id="0">
    <w:p w:rsidR="001B53E5" w:rsidRDefault="001B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 w:rsidP="00786B7D">
    <w:pPr>
      <w:pBdr>
        <w:bottom w:val="single" w:sz="6" w:space="1" w:color="auto"/>
      </w:pBdr>
      <w:jc w:val="center"/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>
      <w:rPr>
        <w:rFonts w:ascii="Verdana" w:hAnsi="Verdana"/>
        <w:b/>
        <w:bCs/>
        <w:spacing w:val="20"/>
      </w:rPr>
      <w:t>VEMA IHE CAUCUS BOARD</w:t>
    </w:r>
    <w:r w:rsidRPr="00732E42">
      <w:rPr>
        <w:rFonts w:ascii="Verdana" w:hAnsi="Verdana"/>
        <w:b/>
        <w:bCs/>
        <w:color w:val="FF0000"/>
        <w:spacing w:val="20"/>
      </w:rPr>
      <w:sym w:font="Wingdings 3" w:char="F0B4"/>
    </w:r>
    <w:r>
      <w:rPr>
        <w:rFonts w:ascii="Verdana" w:hAnsi="Verdana"/>
        <w:b/>
        <w:bCs/>
        <w:color w:val="FF0000"/>
        <w:spacing w:val="20"/>
      </w:rPr>
      <w:tab/>
    </w:r>
    <w:r w:rsidR="00C31C4B">
      <w:rPr>
        <w:rFonts w:ascii="Verdana" w:hAnsi="Verdana"/>
        <w:b/>
        <w:bCs/>
        <w:spacing w:val="20"/>
      </w:rPr>
      <w:t>Meeting Minutes</w:t>
    </w:r>
  </w:p>
  <w:p w:rsidR="000D35FB" w:rsidRPr="00732E42" w:rsidRDefault="000D35FB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0D35FB" w:rsidRPr="004F6929" w:rsidRDefault="000D35FB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2"/>
    <w:multiLevelType w:val="hybridMultilevel"/>
    <w:tmpl w:val="71CC3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CB6CF4"/>
    <w:multiLevelType w:val="hybridMultilevel"/>
    <w:tmpl w:val="03E01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6"/>
    <w:rsid w:val="00041AE7"/>
    <w:rsid w:val="00054E0E"/>
    <w:rsid w:val="0007218D"/>
    <w:rsid w:val="00077888"/>
    <w:rsid w:val="00087ECC"/>
    <w:rsid w:val="00094347"/>
    <w:rsid w:val="000D35FB"/>
    <w:rsid w:val="001303BA"/>
    <w:rsid w:val="00160D35"/>
    <w:rsid w:val="001877B5"/>
    <w:rsid w:val="001B53E5"/>
    <w:rsid w:val="00220534"/>
    <w:rsid w:val="002210A0"/>
    <w:rsid w:val="002444D4"/>
    <w:rsid w:val="002650D6"/>
    <w:rsid w:val="00273A95"/>
    <w:rsid w:val="002D7076"/>
    <w:rsid w:val="002F056D"/>
    <w:rsid w:val="002F2A3E"/>
    <w:rsid w:val="00304BD9"/>
    <w:rsid w:val="003212F3"/>
    <w:rsid w:val="00377305"/>
    <w:rsid w:val="00384DCB"/>
    <w:rsid w:val="003D0D2D"/>
    <w:rsid w:val="003D6EA5"/>
    <w:rsid w:val="0042196E"/>
    <w:rsid w:val="00431FEC"/>
    <w:rsid w:val="004618A9"/>
    <w:rsid w:val="00466CC9"/>
    <w:rsid w:val="00485A0C"/>
    <w:rsid w:val="00491560"/>
    <w:rsid w:val="004A249F"/>
    <w:rsid w:val="004B5991"/>
    <w:rsid w:val="004D41E9"/>
    <w:rsid w:val="004F6929"/>
    <w:rsid w:val="005304FA"/>
    <w:rsid w:val="005357BD"/>
    <w:rsid w:val="00540143"/>
    <w:rsid w:val="00546B8D"/>
    <w:rsid w:val="005777EC"/>
    <w:rsid w:val="005946CA"/>
    <w:rsid w:val="005B607A"/>
    <w:rsid w:val="005D7040"/>
    <w:rsid w:val="00610D79"/>
    <w:rsid w:val="0065548C"/>
    <w:rsid w:val="006C1CD3"/>
    <w:rsid w:val="00726EA8"/>
    <w:rsid w:val="00732E42"/>
    <w:rsid w:val="00761EC8"/>
    <w:rsid w:val="00763287"/>
    <w:rsid w:val="00786B7D"/>
    <w:rsid w:val="007922B3"/>
    <w:rsid w:val="008B24E2"/>
    <w:rsid w:val="008C0FA2"/>
    <w:rsid w:val="008C2BA3"/>
    <w:rsid w:val="008E76C8"/>
    <w:rsid w:val="008F5B80"/>
    <w:rsid w:val="00990B9C"/>
    <w:rsid w:val="00A30EA1"/>
    <w:rsid w:val="00A4459D"/>
    <w:rsid w:val="00A6445E"/>
    <w:rsid w:val="00A93EAD"/>
    <w:rsid w:val="00AD660A"/>
    <w:rsid w:val="00B35B59"/>
    <w:rsid w:val="00B36C6E"/>
    <w:rsid w:val="00B550FD"/>
    <w:rsid w:val="00B726FC"/>
    <w:rsid w:val="00B737DD"/>
    <w:rsid w:val="00B96497"/>
    <w:rsid w:val="00BB0DFA"/>
    <w:rsid w:val="00BB6179"/>
    <w:rsid w:val="00BC4703"/>
    <w:rsid w:val="00BE257E"/>
    <w:rsid w:val="00BE264E"/>
    <w:rsid w:val="00BE556D"/>
    <w:rsid w:val="00C04159"/>
    <w:rsid w:val="00C3016A"/>
    <w:rsid w:val="00C31C4B"/>
    <w:rsid w:val="00C456D6"/>
    <w:rsid w:val="00C75145"/>
    <w:rsid w:val="00CC5AB7"/>
    <w:rsid w:val="00CC790A"/>
    <w:rsid w:val="00D15D29"/>
    <w:rsid w:val="00D309D1"/>
    <w:rsid w:val="00D35FF0"/>
    <w:rsid w:val="00D87A83"/>
    <w:rsid w:val="00DB7F11"/>
    <w:rsid w:val="00DF7075"/>
    <w:rsid w:val="00E20A0A"/>
    <w:rsid w:val="00EE1B5A"/>
    <w:rsid w:val="00F00C81"/>
    <w:rsid w:val="00F02FAF"/>
    <w:rsid w:val="00F73238"/>
    <w:rsid w:val="00FB60A4"/>
    <w:rsid w:val="00FB7576"/>
    <w:rsid w:val="00FB7E94"/>
    <w:rsid w:val="00FD5A5F"/>
    <w:rsid w:val="00FD63F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675FB-9827-4EE0-93EE-67D96FF5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TP030000373.dotx</Template>
  <TotalTime>40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Brittany Schaal</cp:lastModifiedBy>
  <cp:revision>3</cp:revision>
  <dcterms:created xsi:type="dcterms:W3CDTF">2013-06-26T12:00:00Z</dcterms:created>
  <dcterms:modified xsi:type="dcterms:W3CDTF">2013-06-26T13:00:00Z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